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/>
        <w:drawing>
          <wp:inline distB="0" distT="0" distL="0" distR="0">
            <wp:extent cx="4599940" cy="1409065"/>
            <wp:effectExtent b="0" l="0" r="0" t="0"/>
            <wp:docPr descr="C:\Users\Jessica\AppData\Local\Microsoft\Windows\INetCacheContent.Word\logo with text (4).jpg" id="8" name="image1.jpg"/>
            <a:graphic>
              <a:graphicData uri="http://schemas.openxmlformats.org/drawingml/2006/picture">
                <pic:pic>
                  <pic:nvPicPr>
                    <pic:cNvPr descr="C:\Users\Jessica\AppData\Local\Microsoft\Windows\INetCacheContent.Word\logo with text (4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UNASUR Country List 2025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(17 students)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Haiti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Ecuador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United Mexican States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Federative Republic of Brazil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Bolivarian Republic of Venezuela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Argentine Republic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Oriental Republic of Uruguay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Peru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Republic of El Salvador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Paraguay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Panama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Colombia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Chile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Plurinational State of Bolivia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Co-operative Republic of Guyana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Suriname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Republic of Honduras 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fzWtPIqW8XLWFjoKK4t5S6Ojw==">CgMxLjA4AHIhMWF2Nklab1p0dlpSVmZuTm1rZUtLN01JZDl0SUl2eEdG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